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F9" w:rsidRDefault="00081D96">
      <w:pPr>
        <w:rPr>
          <w:b/>
          <w:u w:val="single"/>
        </w:rPr>
      </w:pPr>
      <w:r w:rsidRPr="00081D96">
        <w:rPr>
          <w:b/>
          <w:u w:val="single"/>
        </w:rPr>
        <w:t>Disciplining Members – when and how to grasp the nettle</w:t>
      </w:r>
    </w:p>
    <w:p w:rsidR="00434F3E" w:rsidRPr="00081D96" w:rsidRDefault="00434F3E">
      <w:pPr>
        <w:rPr>
          <w:b/>
          <w:u w:val="single"/>
        </w:rPr>
      </w:pPr>
    </w:p>
    <w:p w:rsidR="00081D96" w:rsidRPr="00081D96" w:rsidRDefault="00C13D27">
      <w:pPr>
        <w:rPr>
          <w:b/>
          <w:i/>
        </w:rPr>
      </w:pPr>
      <w:r>
        <w:rPr>
          <w:b/>
          <w:i/>
        </w:rPr>
        <w:t>A necessary evil</w:t>
      </w:r>
      <w:r w:rsidR="00081D96" w:rsidRPr="00081D96">
        <w:rPr>
          <w:b/>
          <w:i/>
        </w:rPr>
        <w:t>…</w:t>
      </w:r>
    </w:p>
    <w:p w:rsidR="00081D96" w:rsidRDefault="00081D96">
      <w:r>
        <w:t>Most sporting bodies rely heavily on their members, in particular those who have the willingness to get involved with no thought of remuneration. Subjecting a member to a disciplinary procedure is an una</w:t>
      </w:r>
      <w:r w:rsidR="00581DF9">
        <w:t>ttractive prospect, especially for</w:t>
      </w:r>
      <w:r>
        <w:t xml:space="preserve"> those who have </w:t>
      </w:r>
      <w:r w:rsidR="001F464C">
        <w:t xml:space="preserve">the </w:t>
      </w:r>
      <w:r w:rsidR="00DC6A54">
        <w:t>unpleasant task</w:t>
      </w:r>
      <w:r w:rsidR="001F464C">
        <w:t xml:space="preserve"> of being directly involved.  </w:t>
      </w:r>
      <w:r>
        <w:t xml:space="preserve"> Nonetheless, t</w:t>
      </w:r>
      <w:r w:rsidR="00AE3EE3">
        <w:t>here are times when it is a</w:t>
      </w:r>
      <w:r>
        <w:t xml:space="preserve"> necessary evil, for the sake of the wellbeing of the organisation and/or other members.  </w:t>
      </w:r>
    </w:p>
    <w:p w:rsidR="00C13D27" w:rsidRPr="00C13D27" w:rsidRDefault="00C13D27">
      <w:pPr>
        <w:rPr>
          <w:b/>
          <w:i/>
        </w:rPr>
      </w:pPr>
      <w:r w:rsidRPr="00C13D27">
        <w:rPr>
          <w:b/>
          <w:i/>
        </w:rPr>
        <w:t xml:space="preserve">When? </w:t>
      </w:r>
    </w:p>
    <w:p w:rsidR="00445131" w:rsidRDefault="00C13D27">
      <w:r>
        <w:t>Some acts of misconduct by members are so serious (</w:t>
      </w:r>
      <w:proofErr w:type="spellStart"/>
      <w:r>
        <w:t>eg</w:t>
      </w:r>
      <w:proofErr w:type="spellEnd"/>
      <w:r>
        <w:t xml:space="preserve"> theft of club funds, physical and/or sexual assault </w:t>
      </w:r>
      <w:proofErr w:type="spellStart"/>
      <w:proofErr w:type="gramStart"/>
      <w:r>
        <w:t>etc</w:t>
      </w:r>
      <w:proofErr w:type="spellEnd"/>
      <w:r>
        <w:t xml:space="preserve"> )</w:t>
      </w:r>
      <w:proofErr w:type="gramEnd"/>
      <w:r>
        <w:t xml:space="preserve"> that they require robust and  immediate action. However, </w:t>
      </w:r>
      <w:proofErr w:type="gramStart"/>
      <w:r w:rsidR="009751F6">
        <w:t xml:space="preserve">misconduct </w:t>
      </w:r>
      <w:r>
        <w:t xml:space="preserve"> of</w:t>
      </w:r>
      <w:proofErr w:type="gramEnd"/>
      <w:r>
        <w:t xml:space="preserve"> a less </w:t>
      </w:r>
      <w:r w:rsidR="009751F6">
        <w:t xml:space="preserve"> serious </w:t>
      </w:r>
      <w:r>
        <w:t xml:space="preserve"> nature can nonetheless be </w:t>
      </w:r>
      <w:r w:rsidR="009751F6">
        <w:t xml:space="preserve"> very </w:t>
      </w:r>
      <w:r>
        <w:t xml:space="preserve"> damaging </w:t>
      </w:r>
      <w:r w:rsidR="00AE3EE3">
        <w:t xml:space="preserve">to a </w:t>
      </w:r>
      <w:r w:rsidR="001F464C">
        <w:t>sporting organisation</w:t>
      </w:r>
      <w:r>
        <w:t xml:space="preserve"> if allowed to continue. </w:t>
      </w:r>
      <w:r w:rsidR="00445131">
        <w:t xml:space="preserve"> </w:t>
      </w:r>
    </w:p>
    <w:p w:rsidR="00081D96" w:rsidRDefault="00C13D27">
      <w:r>
        <w:t xml:space="preserve">A particularly difficult </w:t>
      </w:r>
      <w:r w:rsidR="003E28D4">
        <w:t xml:space="preserve">(and depressingly common) </w:t>
      </w:r>
      <w:r>
        <w:t xml:space="preserve">example of this is the member who </w:t>
      </w:r>
      <w:r w:rsidR="00445131">
        <w:t xml:space="preserve">feels entitled to send unpleasant communications to (or about) </w:t>
      </w:r>
      <w:r>
        <w:t>elected officers and full-time officials</w:t>
      </w:r>
      <w:r w:rsidR="00445131">
        <w:t xml:space="preserve">. Whilst a degree of robustness to legitimate criticism or comment is to be expected from </w:t>
      </w:r>
      <w:r w:rsidR="003E28D4">
        <w:t xml:space="preserve">those </w:t>
      </w:r>
      <w:r w:rsidR="00445131">
        <w:t xml:space="preserve">in positions </w:t>
      </w:r>
      <w:r w:rsidR="001F464C">
        <w:t>of power</w:t>
      </w:r>
      <w:r w:rsidR="00445131">
        <w:t xml:space="preserve">, there is </w:t>
      </w:r>
      <w:r w:rsidR="00AE3EE3">
        <w:t xml:space="preserve">a </w:t>
      </w:r>
      <w:r w:rsidR="00445131">
        <w:t>line beyond which this must be viewed as impermissible</w:t>
      </w:r>
      <w:r w:rsidR="001F464C">
        <w:t xml:space="preserve">, and possibly </w:t>
      </w:r>
      <w:r w:rsidR="00B744BD">
        <w:t xml:space="preserve">as </w:t>
      </w:r>
      <w:r w:rsidR="00445131">
        <w:t xml:space="preserve">bullying. </w:t>
      </w:r>
      <w:r w:rsidR="00DD239C">
        <w:t>When and how to grasp the nettle in  such cases takes great care and thought</w:t>
      </w:r>
      <w:r w:rsidR="00445131">
        <w:t xml:space="preserve">, particularly </w:t>
      </w:r>
      <w:r w:rsidR="00DD239C">
        <w:t xml:space="preserve">where </w:t>
      </w:r>
      <w:r w:rsidR="00445131">
        <w:t xml:space="preserve"> the </w:t>
      </w:r>
      <w:r w:rsidR="00DD239C">
        <w:t xml:space="preserve">member  has </w:t>
      </w:r>
      <w:r w:rsidR="00445131">
        <w:t xml:space="preserve"> </w:t>
      </w:r>
      <w:r w:rsidR="003E28D4">
        <w:t xml:space="preserve">friends and </w:t>
      </w:r>
      <w:r w:rsidR="00445131">
        <w:t>popu</w:t>
      </w:r>
      <w:r w:rsidR="003E28D4">
        <w:t>lar support in</w:t>
      </w:r>
      <w:r w:rsidR="00445131">
        <w:t xml:space="preserve"> </w:t>
      </w:r>
      <w:r w:rsidR="00DD239C">
        <w:t xml:space="preserve">a section of the </w:t>
      </w:r>
      <w:r w:rsidR="00445131">
        <w:t>members</w:t>
      </w:r>
      <w:r w:rsidR="00DD239C">
        <w:t xml:space="preserve">hip which </w:t>
      </w:r>
      <w:r w:rsidR="00445131">
        <w:t>perceive</w:t>
      </w:r>
      <w:r w:rsidR="00DD239C">
        <w:t>s</w:t>
      </w:r>
      <w:r w:rsidR="00445131">
        <w:t xml:space="preserve"> that </w:t>
      </w:r>
      <w:r w:rsidR="003E28D4">
        <w:t xml:space="preserve"> this is </w:t>
      </w:r>
      <w:r w:rsidR="00DD239C">
        <w:t xml:space="preserve"> no more than </w:t>
      </w:r>
      <w:r w:rsidR="003E28D4">
        <w:t xml:space="preserve">the exercise of </w:t>
      </w:r>
      <w:r w:rsidR="00DD239C">
        <w:t xml:space="preserve"> free speech</w:t>
      </w:r>
      <w:r w:rsidR="001F464C">
        <w:t>, albeit robust</w:t>
      </w:r>
      <w:r w:rsidR="000A6331">
        <w:t xml:space="preserve">, </w:t>
      </w:r>
      <w:r w:rsidR="00DD239C">
        <w:t xml:space="preserve"> and </w:t>
      </w:r>
      <w:r w:rsidR="003E28D4">
        <w:t xml:space="preserve">the </w:t>
      </w:r>
      <w:r w:rsidR="00445131">
        <w:t xml:space="preserve">holding </w:t>
      </w:r>
      <w:r w:rsidR="003E28D4">
        <w:t>of the</w:t>
      </w:r>
      <w:r w:rsidR="00445131">
        <w:t xml:space="preserve"> Executive to account. </w:t>
      </w:r>
      <w:r w:rsidR="003E28D4">
        <w:t xml:space="preserve">The position is further complicated by the numerous opportunities for character assassination through social media, and the startling unpleasantness that </w:t>
      </w:r>
      <w:r w:rsidR="00434F3E">
        <w:t>some can descend to when behind a keyboard (</w:t>
      </w:r>
      <w:r w:rsidR="000A6331">
        <w:t xml:space="preserve">akin to </w:t>
      </w:r>
      <w:r w:rsidR="00434F3E">
        <w:t>the</w:t>
      </w:r>
      <w:r w:rsidR="000A6331">
        <w:t xml:space="preserve"> internet </w:t>
      </w:r>
      <w:r w:rsidR="00434F3E">
        <w:t xml:space="preserve"> “troll</w:t>
      </w:r>
      <w:r w:rsidR="00581DF9">
        <w:t xml:space="preserve">s” that blight the </w:t>
      </w:r>
      <w:r w:rsidR="000A6331">
        <w:t xml:space="preserve"> lives</w:t>
      </w:r>
      <w:r w:rsidR="00581DF9">
        <w:t xml:space="preserve"> of those in the public eye</w:t>
      </w:r>
      <w:r w:rsidR="00434F3E">
        <w:t xml:space="preserve">). </w:t>
      </w:r>
    </w:p>
    <w:p w:rsidR="003754CD" w:rsidRDefault="003754CD">
      <w:r>
        <w:t xml:space="preserve">Care should be used with the charge of conduct bringing the sport, or sporting body, “into disrepute”.  Although the rules of most sporting bodies have </w:t>
      </w:r>
      <w:r w:rsidR="00B744BD">
        <w:t>such a rule</w:t>
      </w:r>
      <w:r>
        <w:t xml:space="preserve">, </w:t>
      </w:r>
      <w:r w:rsidR="008F594E">
        <w:t xml:space="preserve">there is an obvious danger that such a widely drafted provision may not be applied consistently </w:t>
      </w:r>
      <w:r w:rsidR="00B744BD">
        <w:t>or fairly</w:t>
      </w:r>
      <w:r w:rsidR="008F594E">
        <w:t xml:space="preserve">.  It is, after all, hard to </w:t>
      </w:r>
      <w:r w:rsidR="00B744BD">
        <w:t>find evidence</w:t>
      </w:r>
      <w:r w:rsidR="008F594E">
        <w:t xml:space="preserve"> of</w:t>
      </w:r>
      <w:r w:rsidR="00581DF9">
        <w:t xml:space="preserve"> actual, as opposed to potential, disrepute. </w:t>
      </w:r>
      <w:r w:rsidR="008F594E">
        <w:t xml:space="preserve">A more specific charge should be used where possible. </w:t>
      </w:r>
      <w:r>
        <w:t xml:space="preserve"> </w:t>
      </w:r>
    </w:p>
    <w:p w:rsidR="00434F3E" w:rsidRDefault="00DD239C">
      <w:pPr>
        <w:rPr>
          <w:b/>
          <w:i/>
        </w:rPr>
      </w:pPr>
      <w:r w:rsidRPr="00DD239C">
        <w:rPr>
          <w:b/>
          <w:i/>
        </w:rPr>
        <w:t>How?</w:t>
      </w:r>
    </w:p>
    <w:p w:rsidR="00581DF9" w:rsidRDefault="00150471" w:rsidP="00150471">
      <w:r>
        <w:t xml:space="preserve">Firstly, and most importantly, </w:t>
      </w:r>
      <w:r w:rsidR="000A6331">
        <w:t>the application of a disciplinary procedure must be</w:t>
      </w:r>
      <w:r w:rsidR="00581DF9">
        <w:t>:</w:t>
      </w:r>
    </w:p>
    <w:p w:rsidR="00581DF9" w:rsidRDefault="00150471" w:rsidP="00581DF9">
      <w:pPr>
        <w:pStyle w:val="ListParagraph"/>
        <w:numPr>
          <w:ilvl w:val="0"/>
          <w:numId w:val="2"/>
        </w:numPr>
      </w:pPr>
      <w:r>
        <w:t>in strict conformity with the organisation’s disciplinary rules</w:t>
      </w:r>
      <w:r w:rsidR="00434F3E">
        <w:t xml:space="preserve"> (this</w:t>
      </w:r>
      <w:r w:rsidR="001F464C">
        <w:t xml:space="preserve"> is</w:t>
      </w:r>
      <w:r w:rsidR="00434F3E">
        <w:t>, after all, a contractual matter</w:t>
      </w:r>
      <w:r w:rsidR="00581DF9">
        <w:t xml:space="preserve"> in most cases</w:t>
      </w:r>
      <w:r w:rsidR="00434F3E">
        <w:t>)</w:t>
      </w:r>
      <w:r>
        <w:t>;</w:t>
      </w:r>
    </w:p>
    <w:p w:rsidR="00581DF9" w:rsidRDefault="00581DF9" w:rsidP="00581DF9">
      <w:pPr>
        <w:pStyle w:val="ListParagraph"/>
        <w:numPr>
          <w:ilvl w:val="0"/>
          <w:numId w:val="2"/>
        </w:numPr>
      </w:pPr>
      <w:r>
        <w:t xml:space="preserve"> in </w:t>
      </w:r>
      <w:r w:rsidR="000A6331">
        <w:t xml:space="preserve"> </w:t>
      </w:r>
      <w:r w:rsidR="00150471">
        <w:t xml:space="preserve">compliance with the principles of </w:t>
      </w:r>
      <w:r w:rsidR="00150471" w:rsidRPr="00581DF9">
        <w:rPr>
          <w:i/>
        </w:rPr>
        <w:t xml:space="preserve">natural </w:t>
      </w:r>
      <w:r w:rsidR="003754CD" w:rsidRPr="00581DF9">
        <w:rPr>
          <w:i/>
        </w:rPr>
        <w:t>justice</w:t>
      </w:r>
      <w:r>
        <w:t xml:space="preserve"> </w:t>
      </w:r>
      <w:r w:rsidR="00150471">
        <w:t xml:space="preserve"> , in particular the member’s right to have a reasonable opportunity to respond to the allegation(s) made; </w:t>
      </w:r>
    </w:p>
    <w:p w:rsidR="00581DF9" w:rsidRDefault="00581DF9" w:rsidP="00581DF9">
      <w:pPr>
        <w:pStyle w:val="ListParagraph"/>
        <w:numPr>
          <w:ilvl w:val="0"/>
          <w:numId w:val="2"/>
        </w:numPr>
      </w:pPr>
      <w:r>
        <w:t xml:space="preserve"> Conducted </w:t>
      </w:r>
      <w:r w:rsidR="00150471">
        <w:t xml:space="preserve">in good faith and not arbitrarily, capriciously, perversely, or irrationally. </w:t>
      </w:r>
    </w:p>
    <w:p w:rsidR="000130B7" w:rsidRDefault="000130B7" w:rsidP="00581DF9">
      <w:r>
        <w:t>Whilst the second and third requirements are self-expla</w:t>
      </w:r>
      <w:r w:rsidR="000A6331">
        <w:t xml:space="preserve">natory </w:t>
      </w:r>
      <w:r w:rsidR="001F464C">
        <w:t>and obvious</w:t>
      </w:r>
      <w:r>
        <w:t xml:space="preserve">, the disciplinary rules merit further discussion. </w:t>
      </w:r>
    </w:p>
    <w:p w:rsidR="00434F3E" w:rsidRDefault="000130B7" w:rsidP="00150471">
      <w:r>
        <w:lastRenderedPageBreak/>
        <w:t xml:space="preserve">Some rules give the organisation a great deal of discretion in the </w:t>
      </w:r>
      <w:r w:rsidR="004913D8">
        <w:t>procedure adopted</w:t>
      </w:r>
      <w:r w:rsidR="00324B8B">
        <w:t xml:space="preserve"> (even to the extent </w:t>
      </w:r>
      <w:r w:rsidR="00434F3E">
        <w:t>of</w:t>
      </w:r>
      <w:r>
        <w:t xml:space="preserve"> dispensing with the need for a hearing</w:t>
      </w:r>
      <w:r w:rsidR="00324B8B">
        <w:t xml:space="preserve"> and conducting the procedure in writing</w:t>
      </w:r>
      <w:r>
        <w:t>), and</w:t>
      </w:r>
      <w:r w:rsidR="000A6331">
        <w:t xml:space="preserve"> in respect of the</w:t>
      </w:r>
      <w:r>
        <w:t xml:space="preserve"> sanction. </w:t>
      </w:r>
      <w:r w:rsidR="000A6331">
        <w:t xml:space="preserve"> I dare say</w:t>
      </w:r>
      <w:r w:rsidR="000A6331" w:rsidRPr="000A6331">
        <w:t xml:space="preserve">, however, </w:t>
      </w:r>
      <w:r>
        <w:t>that most</w:t>
      </w:r>
      <w:r w:rsidR="000A6331">
        <w:t xml:space="preserve"> sporting bodies </w:t>
      </w:r>
      <w:r w:rsidR="00434F3E">
        <w:t>give members</w:t>
      </w:r>
      <w:r>
        <w:t xml:space="preserve"> the right to a</w:t>
      </w:r>
      <w:r w:rsidR="00324B8B">
        <w:t xml:space="preserve">n oral </w:t>
      </w:r>
      <w:r>
        <w:t xml:space="preserve"> hearing of some sort</w:t>
      </w:r>
      <w:r w:rsidR="00434F3E">
        <w:t xml:space="preserve"> (particularly </w:t>
      </w:r>
      <w:r w:rsidR="004913D8" w:rsidRPr="004913D8">
        <w:t>those in receipt of public funding</w:t>
      </w:r>
      <w:r w:rsidR="000A6331">
        <w:t xml:space="preserve"> which are subject to different considerations than, say, a commercially- run golf club</w:t>
      </w:r>
      <w:r w:rsidR="004913D8" w:rsidRPr="004913D8">
        <w:t>)</w:t>
      </w:r>
      <w:r>
        <w:t xml:space="preserve">, and that some </w:t>
      </w:r>
      <w:r w:rsidR="004913D8">
        <w:t xml:space="preserve">may even </w:t>
      </w:r>
      <w:r>
        <w:t xml:space="preserve"> </w:t>
      </w:r>
      <w:r w:rsidR="004913D8">
        <w:t xml:space="preserve">provide for an appeal </w:t>
      </w:r>
      <w:r>
        <w:t xml:space="preserve"> to a third party such as Sport Resolutions. </w:t>
      </w:r>
      <w:r w:rsidR="004913D8">
        <w:t xml:space="preserve">Whichever procedure is adopted, the Courts are unlikely to interfere </w:t>
      </w:r>
      <w:r w:rsidR="000A6331">
        <w:t xml:space="preserve">as long as the </w:t>
      </w:r>
      <w:proofErr w:type="gramStart"/>
      <w:r w:rsidR="000A6331">
        <w:t xml:space="preserve">organisation </w:t>
      </w:r>
      <w:r w:rsidR="004913D8">
        <w:t xml:space="preserve"> complies</w:t>
      </w:r>
      <w:proofErr w:type="gramEnd"/>
      <w:r w:rsidR="004913D8">
        <w:t xml:space="preserve"> with the basic requirements set out above. </w:t>
      </w:r>
    </w:p>
    <w:p w:rsidR="00434F3E" w:rsidRDefault="00434F3E" w:rsidP="00150471"/>
    <w:p w:rsidR="00150471" w:rsidRDefault="004913D8" w:rsidP="00150471">
      <w:pPr>
        <w:rPr>
          <w:b/>
          <w:i/>
        </w:rPr>
      </w:pPr>
      <w:r w:rsidRPr="004913D8">
        <w:rPr>
          <w:b/>
          <w:i/>
        </w:rPr>
        <w:t xml:space="preserve">Which procedure to choose? </w:t>
      </w:r>
    </w:p>
    <w:p w:rsidR="001F464C" w:rsidRDefault="003E28D4" w:rsidP="00150471">
      <w:r>
        <w:t xml:space="preserve">The simpler procedures have obvious attractions in view of cost and administrative time. These are particularly appropriate for straightforward </w:t>
      </w:r>
      <w:r w:rsidR="001F464C">
        <w:t>cases</w:t>
      </w:r>
      <w:r>
        <w:t xml:space="preserve"> and those where time is of the essence. However, </w:t>
      </w:r>
      <w:r w:rsidR="00434F3E">
        <w:t>they can prove inadequate and inflexible in more complex cases, resulting in the need to seek the member’s consent to apply a variation. This may not, in th</w:t>
      </w:r>
      <w:r w:rsidR="001F464C">
        <w:t>e circumstances, be forthcoming</w:t>
      </w:r>
      <w:r w:rsidR="00434F3E">
        <w:t xml:space="preserve">. </w:t>
      </w:r>
    </w:p>
    <w:p w:rsidR="006E3FF8" w:rsidRDefault="00434F3E" w:rsidP="00150471">
      <w:r>
        <w:t>The position of the disciplinary panel should also be considered.</w:t>
      </w:r>
      <w:r w:rsidR="00531BA5">
        <w:t xml:space="preserve"> Where, as is often</w:t>
      </w:r>
      <w:r>
        <w:t xml:space="preserve"> the case, this i</w:t>
      </w:r>
      <w:r w:rsidR="00531BA5">
        <w:t xml:space="preserve">s comprised of elected or full-time </w:t>
      </w:r>
      <w:r>
        <w:t>officers o</w:t>
      </w:r>
      <w:r w:rsidR="00531BA5">
        <w:t xml:space="preserve">f the organisation, they may </w:t>
      </w:r>
      <w:r w:rsidR="006E3FF8">
        <w:t xml:space="preserve">have a conflict of </w:t>
      </w:r>
      <w:proofErr w:type="gramStart"/>
      <w:r w:rsidR="006E3FF8">
        <w:t xml:space="preserve">interest  </w:t>
      </w:r>
      <w:r w:rsidR="00531BA5">
        <w:t>or</w:t>
      </w:r>
      <w:proofErr w:type="gramEnd"/>
      <w:r w:rsidR="00531BA5">
        <w:t xml:space="preserve">  some other reason not to wish to sit on such a disciplinary panel.  </w:t>
      </w:r>
      <w:r w:rsidR="006E3FF8">
        <w:t>They may even be open to accusations of bias. In that event, please note that it is not enough that they are not biased; the question is whether the circumstances are such as to lead a fair</w:t>
      </w:r>
      <w:r w:rsidR="00DC6A54">
        <w:t>-</w:t>
      </w:r>
      <w:r w:rsidR="006E3FF8">
        <w:t xml:space="preserve">minded and </w:t>
      </w:r>
      <w:r w:rsidR="00DC6A54">
        <w:t>informed</w:t>
      </w:r>
      <w:r w:rsidR="006E3FF8">
        <w:t xml:space="preserve"> observer to conclude there was a real poss</w:t>
      </w:r>
      <w:r w:rsidR="00DC6A54">
        <w:t>ibility or real danger of bias</w:t>
      </w:r>
      <w:r w:rsidR="00DC6A54">
        <w:rPr>
          <w:rStyle w:val="FootnoteReference"/>
        </w:rPr>
        <w:footnoteReference w:id="1"/>
      </w:r>
      <w:r w:rsidR="00DC6A54">
        <w:t>.</w:t>
      </w:r>
    </w:p>
    <w:p w:rsidR="00D96076" w:rsidRDefault="00531BA5" w:rsidP="00150471">
      <w:r>
        <w:t>Whilst it is probably excessi</w:t>
      </w:r>
      <w:r w:rsidR="006E3FF8">
        <w:t>ve to provide for reference to Sport R</w:t>
      </w:r>
      <w:r>
        <w:t>esolutions</w:t>
      </w:r>
      <w:r w:rsidR="006E3FF8">
        <w:t xml:space="preserve"> (or some other independent body) </w:t>
      </w:r>
      <w:r>
        <w:t xml:space="preserve"> in all disciplinary cases, the disciplinary procedure should provide the power to make such a reference in an appropriate case (</w:t>
      </w:r>
      <w:proofErr w:type="spellStart"/>
      <w:r>
        <w:t>eg</w:t>
      </w:r>
      <w:proofErr w:type="spellEnd"/>
      <w:r>
        <w:t xml:space="preserve"> to demonstrate to the wider membership that the cas</w:t>
      </w:r>
      <w:r w:rsidR="006E3FF8">
        <w:t>e has been handled  fairly) and/</w:t>
      </w:r>
      <w:r>
        <w:t xml:space="preserve">or on appeal. </w:t>
      </w:r>
      <w:r w:rsidR="00C55ECC">
        <w:t xml:space="preserve">Reference </w:t>
      </w:r>
      <w:r w:rsidR="006E3FF8">
        <w:t>to an independent body enables j</w:t>
      </w:r>
      <w:r w:rsidR="00C55ECC">
        <w:t xml:space="preserve">ustice not only to be done, but to be seen to have been done. </w:t>
      </w:r>
    </w:p>
    <w:p w:rsidR="00B0412E" w:rsidRDefault="00B0412E" w:rsidP="00150471"/>
    <w:p w:rsidR="00B0412E" w:rsidRPr="00B0412E" w:rsidRDefault="00B0412E" w:rsidP="00150471">
      <w:pPr>
        <w:rPr>
          <w:b/>
          <w:i/>
        </w:rPr>
      </w:pPr>
      <w:r w:rsidRPr="00B0412E">
        <w:rPr>
          <w:b/>
          <w:i/>
        </w:rPr>
        <w:t>The Human Rights Act 1998</w:t>
      </w:r>
      <w:r>
        <w:rPr>
          <w:b/>
          <w:i/>
        </w:rPr>
        <w:t xml:space="preserve"> (“HRA”)</w:t>
      </w:r>
    </w:p>
    <w:p w:rsidR="00DD239C" w:rsidRDefault="00B0412E">
      <w:r>
        <w:t xml:space="preserve"> Article 6 of the HRA protects the right to a fair trial where the organisation is a “public authority” within the meaning of the Act. Discussing what is and what is not a public authority is beyond the scope of this article but suffice it to say that most National Governing B</w:t>
      </w:r>
      <w:r w:rsidR="000A6331">
        <w:t>odies</w:t>
      </w:r>
      <w:r w:rsidR="00324B8B">
        <w:t>, and</w:t>
      </w:r>
      <w:r>
        <w:t xml:space="preserve"> other similar sporting organisations,</w:t>
      </w:r>
      <w:r w:rsidR="004F3123">
        <w:t xml:space="preserve"> are unlikely to be</w:t>
      </w:r>
      <w:r>
        <w:t>. Accordingly, they will not be obliged to have a</w:t>
      </w:r>
      <w:r w:rsidR="00324B8B">
        <w:t xml:space="preserve">n </w:t>
      </w:r>
      <w:proofErr w:type="gramStart"/>
      <w:r w:rsidR="00324B8B">
        <w:t xml:space="preserve">oral </w:t>
      </w:r>
      <w:r>
        <w:t xml:space="preserve"> hearing</w:t>
      </w:r>
      <w:proofErr w:type="gramEnd"/>
      <w:r>
        <w:t xml:space="preserve"> unless their </w:t>
      </w:r>
      <w:r w:rsidR="004F3123">
        <w:t>members’</w:t>
      </w:r>
      <w:r>
        <w:t xml:space="preserve"> disciplinary procedure requires this. </w:t>
      </w:r>
    </w:p>
    <w:p w:rsidR="00B0412E" w:rsidRDefault="00B0412E">
      <w:r>
        <w:t>Whilst on the subject of</w:t>
      </w:r>
      <w:r w:rsidR="00AE3EE3">
        <w:t xml:space="preserve"> the HRA, some</w:t>
      </w:r>
      <w:r>
        <w:t xml:space="preserve"> members </w:t>
      </w:r>
      <w:r w:rsidR="00AE3EE3">
        <w:t xml:space="preserve">who are subject to disciplinary procedures </w:t>
      </w:r>
      <w:r>
        <w:t xml:space="preserve">may seek to rely on </w:t>
      </w:r>
      <w:r w:rsidR="00AE3EE3">
        <w:t>the</w:t>
      </w:r>
      <w:r>
        <w:t xml:space="preserve"> Article 10 right to freedom </w:t>
      </w:r>
      <w:r w:rsidR="004F3123">
        <w:t>of expression. T</w:t>
      </w:r>
      <w:r>
        <w:t>he answer is the sa</w:t>
      </w:r>
      <w:r w:rsidR="00AE3EE3">
        <w:t>me as above. If the organisation is not a public authority</w:t>
      </w:r>
      <w:r w:rsidR="004F3123">
        <w:t>, the</w:t>
      </w:r>
      <w:r w:rsidR="00AE3EE3">
        <w:t xml:space="preserve"> HRA does not apply and they have no such right. </w:t>
      </w:r>
    </w:p>
    <w:p w:rsidR="006F5956" w:rsidRDefault="006F5956"/>
    <w:p w:rsidR="006F5956" w:rsidRDefault="006F5956" w:rsidP="006F5956">
      <w:pPr>
        <w:rPr>
          <w:b/>
          <w:i/>
        </w:rPr>
      </w:pPr>
      <w:r w:rsidRPr="00AE3EE3">
        <w:rPr>
          <w:b/>
          <w:i/>
        </w:rPr>
        <w:lastRenderedPageBreak/>
        <w:t>Conclusion</w:t>
      </w:r>
    </w:p>
    <w:p w:rsidR="00AE3EE3" w:rsidRDefault="00AE3EE3">
      <w:bookmarkStart w:id="0" w:name="_GoBack"/>
      <w:bookmarkEnd w:id="0"/>
      <w:r>
        <w:t xml:space="preserve">Check your member’s disciplinary and appeal procedures and, if in any doubt as to whether they are fit for purpose, seek legal advice. By the time that you need to use them, you are stuck with what you have, and any </w:t>
      </w:r>
      <w:r w:rsidR="004F3123">
        <w:t>defects can</w:t>
      </w:r>
      <w:r>
        <w:t xml:space="preserve"> be </w:t>
      </w:r>
      <w:r w:rsidR="00DC6A54">
        <w:t xml:space="preserve">expensive. Apart from anything else, </w:t>
      </w:r>
      <w:r w:rsidR="00324B8B">
        <w:t>the member</w:t>
      </w:r>
      <w:r w:rsidR="00DC6A54">
        <w:t xml:space="preserve"> may have a claim in damages for breach of contract. </w:t>
      </w:r>
    </w:p>
    <w:p w:rsidR="00324B8B" w:rsidRDefault="00324B8B"/>
    <w:p w:rsidR="00581DF9" w:rsidRDefault="00581DF9">
      <w:r>
        <w:t xml:space="preserve">Edward Wheen </w:t>
      </w:r>
    </w:p>
    <w:p w:rsidR="00581DF9" w:rsidRPr="00AE3EE3" w:rsidRDefault="00581DF9">
      <w:r>
        <w:t>Partner</w:t>
      </w:r>
      <w:r w:rsidR="009751F6">
        <w:t>,</w:t>
      </w:r>
      <w:r>
        <w:t xml:space="preserve"> Moorhead James LLP</w:t>
      </w:r>
    </w:p>
    <w:p w:rsidR="00DD239C" w:rsidRDefault="00DD239C"/>
    <w:p w:rsidR="00DD239C" w:rsidRPr="00081D96" w:rsidRDefault="00DD239C"/>
    <w:sectPr w:rsidR="00DD239C" w:rsidRPr="00081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6B" w:rsidRDefault="00C8596B" w:rsidP="00DC6A54">
      <w:pPr>
        <w:spacing w:after="0" w:line="240" w:lineRule="auto"/>
      </w:pPr>
      <w:r>
        <w:separator/>
      </w:r>
    </w:p>
  </w:endnote>
  <w:endnote w:type="continuationSeparator" w:id="0">
    <w:p w:rsidR="00C8596B" w:rsidRDefault="00C8596B" w:rsidP="00DC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6B" w:rsidRDefault="00C8596B" w:rsidP="00DC6A54">
      <w:pPr>
        <w:spacing w:after="0" w:line="240" w:lineRule="auto"/>
      </w:pPr>
      <w:r>
        <w:separator/>
      </w:r>
    </w:p>
  </w:footnote>
  <w:footnote w:type="continuationSeparator" w:id="0">
    <w:p w:rsidR="00C8596B" w:rsidRDefault="00C8596B" w:rsidP="00DC6A54">
      <w:pPr>
        <w:spacing w:after="0" w:line="240" w:lineRule="auto"/>
      </w:pPr>
      <w:r>
        <w:continuationSeparator/>
      </w:r>
    </w:p>
  </w:footnote>
  <w:footnote w:id="1">
    <w:p w:rsidR="00581DF9" w:rsidRDefault="00581DF9">
      <w:pPr>
        <w:pStyle w:val="FootnoteText"/>
      </w:pPr>
      <w:r>
        <w:rPr>
          <w:rStyle w:val="FootnoteReference"/>
        </w:rPr>
        <w:footnoteRef/>
      </w:r>
      <w:r>
        <w:t xml:space="preserve"> Porter v Magill [2001] UKHL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C34AB"/>
    <w:multiLevelType w:val="hybridMultilevel"/>
    <w:tmpl w:val="9EBAB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6E5E63"/>
    <w:multiLevelType w:val="hybridMultilevel"/>
    <w:tmpl w:val="66B45C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96"/>
    <w:rsid w:val="000130B7"/>
    <w:rsid w:val="00081D96"/>
    <w:rsid w:val="000A6331"/>
    <w:rsid w:val="00150471"/>
    <w:rsid w:val="001F464C"/>
    <w:rsid w:val="00324B8B"/>
    <w:rsid w:val="003754CD"/>
    <w:rsid w:val="003E28D4"/>
    <w:rsid w:val="00434F3E"/>
    <w:rsid w:val="00445131"/>
    <w:rsid w:val="004913D8"/>
    <w:rsid w:val="004F3123"/>
    <w:rsid w:val="00531BA5"/>
    <w:rsid w:val="00581DF9"/>
    <w:rsid w:val="006E3FF8"/>
    <w:rsid w:val="006F5956"/>
    <w:rsid w:val="0072414F"/>
    <w:rsid w:val="008F594E"/>
    <w:rsid w:val="009751F6"/>
    <w:rsid w:val="00A80360"/>
    <w:rsid w:val="00AE3EE3"/>
    <w:rsid w:val="00B0412E"/>
    <w:rsid w:val="00B744BD"/>
    <w:rsid w:val="00C13D27"/>
    <w:rsid w:val="00C55ECC"/>
    <w:rsid w:val="00C8596B"/>
    <w:rsid w:val="00D96076"/>
    <w:rsid w:val="00DC6A54"/>
    <w:rsid w:val="00DD2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71"/>
    <w:pPr>
      <w:ind w:left="720"/>
      <w:contextualSpacing/>
    </w:pPr>
  </w:style>
  <w:style w:type="paragraph" w:styleId="FootnoteText">
    <w:name w:val="footnote text"/>
    <w:basedOn w:val="Normal"/>
    <w:link w:val="FootnoteTextChar"/>
    <w:uiPriority w:val="99"/>
    <w:semiHidden/>
    <w:unhideWhenUsed/>
    <w:rsid w:val="00DC6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A54"/>
    <w:rPr>
      <w:sz w:val="20"/>
      <w:szCs w:val="20"/>
    </w:rPr>
  </w:style>
  <w:style w:type="character" w:styleId="FootnoteReference">
    <w:name w:val="footnote reference"/>
    <w:basedOn w:val="DefaultParagraphFont"/>
    <w:uiPriority w:val="99"/>
    <w:semiHidden/>
    <w:unhideWhenUsed/>
    <w:rsid w:val="00DC6A54"/>
    <w:rPr>
      <w:vertAlign w:val="superscript"/>
    </w:rPr>
  </w:style>
  <w:style w:type="paragraph" w:styleId="BalloonText">
    <w:name w:val="Balloon Text"/>
    <w:basedOn w:val="Normal"/>
    <w:link w:val="BalloonTextChar"/>
    <w:uiPriority w:val="99"/>
    <w:semiHidden/>
    <w:unhideWhenUsed/>
    <w:rsid w:val="006F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71"/>
    <w:pPr>
      <w:ind w:left="720"/>
      <w:contextualSpacing/>
    </w:pPr>
  </w:style>
  <w:style w:type="paragraph" w:styleId="FootnoteText">
    <w:name w:val="footnote text"/>
    <w:basedOn w:val="Normal"/>
    <w:link w:val="FootnoteTextChar"/>
    <w:uiPriority w:val="99"/>
    <w:semiHidden/>
    <w:unhideWhenUsed/>
    <w:rsid w:val="00DC6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A54"/>
    <w:rPr>
      <w:sz w:val="20"/>
      <w:szCs w:val="20"/>
    </w:rPr>
  </w:style>
  <w:style w:type="character" w:styleId="FootnoteReference">
    <w:name w:val="footnote reference"/>
    <w:basedOn w:val="DefaultParagraphFont"/>
    <w:uiPriority w:val="99"/>
    <w:semiHidden/>
    <w:unhideWhenUsed/>
    <w:rsid w:val="00DC6A54"/>
    <w:rPr>
      <w:vertAlign w:val="superscript"/>
    </w:rPr>
  </w:style>
  <w:style w:type="paragraph" w:styleId="BalloonText">
    <w:name w:val="Balloon Text"/>
    <w:basedOn w:val="Normal"/>
    <w:link w:val="BalloonTextChar"/>
    <w:uiPriority w:val="99"/>
    <w:semiHidden/>
    <w:unhideWhenUsed/>
    <w:rsid w:val="006F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D3C4-C3EE-4ACF-9A8F-8A1CCB6E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1CBAA337</Template>
  <TotalTime>2</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Wheen</dc:creator>
  <cp:lastModifiedBy>Christine Bowyer-Jones</cp:lastModifiedBy>
  <cp:revision>3</cp:revision>
  <cp:lastPrinted>2015-03-09T10:52:00Z</cp:lastPrinted>
  <dcterms:created xsi:type="dcterms:W3CDTF">2015-03-12T12:25:00Z</dcterms:created>
  <dcterms:modified xsi:type="dcterms:W3CDTF">2015-03-12T13:54:00Z</dcterms:modified>
</cp:coreProperties>
</file>